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5F" w:rsidRDefault="005E395F">
      <w:pPr>
        <w:pStyle w:val="Corpotesto"/>
        <w:spacing w:before="7"/>
        <w:rPr>
          <w:rFonts w:ascii="Times New Roman" w:hAnsi="Times New Roman"/>
        </w:rPr>
      </w:pPr>
      <w:bookmarkStart w:id="0" w:name="_GoBack"/>
      <w:bookmarkEnd w:id="0"/>
    </w:p>
    <w:p w:rsidR="005E395F" w:rsidRDefault="003251AB">
      <w:pPr>
        <w:pStyle w:val="Corpotesto"/>
        <w:ind w:left="1327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it-IT"/>
        </w:rPr>
        <mc:AlternateContent>
          <mc:Choice Requires="wps">
            <w:drawing>
              <wp:anchor distT="45720" distB="45720" distL="114300" distR="114300" simplePos="0" relativeHeight="3" behindDoc="0" locked="0" layoutInCell="0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10160</wp:posOffset>
                </wp:positionV>
                <wp:extent cx="1587500" cy="1386840"/>
                <wp:effectExtent l="0" t="0" r="0" b="0"/>
                <wp:wrapSquare wrapText="bothSides"/>
                <wp:docPr id="1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80" cy="13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395F" w:rsidRDefault="005E395F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f" style="position:absolute;margin-left:281.7pt;margin-top:0.8pt;width:124.9pt;height:109.1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E395F" w:rsidRDefault="005E395F">
      <w:pPr>
        <w:pStyle w:val="Corpotesto"/>
        <w:spacing w:before="9"/>
        <w:rPr>
          <w:rFonts w:ascii="Times New Roman" w:hAnsi="Times New Roman"/>
          <w:sz w:val="22"/>
        </w:rPr>
      </w:pPr>
    </w:p>
    <w:p w:rsidR="005E395F" w:rsidRDefault="003251AB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" behindDoc="0" locked="0" layoutInCell="0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52705</wp:posOffset>
                </wp:positionV>
                <wp:extent cx="1619250" cy="1031875"/>
                <wp:effectExtent l="0" t="0" r="0" b="0"/>
                <wp:wrapSquare wrapText="bothSides"/>
                <wp:docPr id="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8560" cy="103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395F" w:rsidRDefault="003251AB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930275" cy="908050"/>
                                  <wp:effectExtent l="0" t="0" r="0" b="0"/>
                                  <wp:docPr id="5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275" cy="908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f" style="position:absolute;margin-left:66.3pt;margin-top:4.15pt;width:127.4pt;height:81.1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930275" cy="908050"/>
                            <wp:effectExtent l="0" t="0" r="0" b="0"/>
                            <wp:docPr id="6" name="Immagine 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275" cy="908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E395F" w:rsidRDefault="005E395F">
      <w:pPr>
        <w:pStyle w:val="Corpotesto"/>
        <w:rPr>
          <w:rFonts w:ascii="Carlito" w:hAnsi="Carlito"/>
          <w:b/>
          <w:i/>
          <w:sz w:val="20"/>
        </w:rPr>
      </w:pPr>
    </w:p>
    <w:p w:rsidR="005E395F" w:rsidRDefault="005E395F">
      <w:pPr>
        <w:pStyle w:val="Corpotesto"/>
        <w:rPr>
          <w:rFonts w:ascii="Carlito" w:hAnsi="Carlito"/>
          <w:b/>
          <w:i/>
          <w:sz w:val="20"/>
        </w:rPr>
      </w:pPr>
    </w:p>
    <w:p w:rsidR="005E395F" w:rsidRDefault="005E395F">
      <w:pPr>
        <w:pStyle w:val="Corpotesto"/>
        <w:spacing w:before="8"/>
        <w:rPr>
          <w:rFonts w:ascii="Carlito" w:hAnsi="Carlito"/>
          <w:b/>
          <w:i/>
          <w:sz w:val="16"/>
        </w:rPr>
      </w:pPr>
    </w:p>
    <w:p w:rsidR="005E395F" w:rsidRDefault="005E395F">
      <w:pPr>
        <w:pStyle w:val="Corpotesto"/>
        <w:rPr>
          <w:b/>
          <w:sz w:val="36"/>
        </w:rPr>
      </w:pPr>
    </w:p>
    <w:p w:rsidR="005E395F" w:rsidRDefault="003251AB">
      <w:pPr>
        <w:pStyle w:val="Corpotesto"/>
        <w:rPr>
          <w:b/>
          <w:sz w:val="36"/>
        </w:rPr>
      </w:pPr>
      <w:r>
        <w:rPr>
          <w:b/>
          <w:noProof/>
          <w:sz w:val="36"/>
          <w:lang w:eastAsia="it-IT"/>
        </w:rPr>
        <mc:AlternateContent>
          <mc:Choice Requires="wps">
            <w:drawing>
              <wp:anchor distT="45720" distB="45720" distL="114300" distR="114300" simplePos="0" relativeHeight="4" behindDoc="0" locked="0" layoutInCell="0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268605</wp:posOffset>
                </wp:positionV>
                <wp:extent cx="1880870" cy="295275"/>
                <wp:effectExtent l="0" t="0" r="0" b="0"/>
                <wp:wrapSquare wrapText="bothSides"/>
                <wp:docPr id="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80" cy="29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395F" w:rsidRDefault="003251AB">
                            <w:pPr>
                              <w:pStyle w:val="Contenutocornic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REGIONE MOLISE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sella di testo 2" fillcolor="white" stroked="f" style="position:absolute;margin-left:31.65pt;margin-top:21.15pt;width:148pt;height:23.1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REGIONE MOLISE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noProof/>
          <w:sz w:val="36"/>
          <w:lang w:eastAsia="it-IT"/>
        </w:rPr>
        <mc:AlternateContent>
          <mc:Choice Requires="wps">
            <w:drawing>
              <wp:anchor distT="45720" distB="45720" distL="114300" distR="114300" simplePos="0" relativeHeight="5" behindDoc="0" locked="0" layoutInCell="0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203835</wp:posOffset>
                </wp:positionV>
                <wp:extent cx="2505710" cy="295275"/>
                <wp:effectExtent l="0" t="0" r="0" b="0"/>
                <wp:wrapSquare wrapText="bothSides"/>
                <wp:docPr id="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240" cy="29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395F" w:rsidRDefault="003251AB">
                            <w:pPr>
                              <w:pStyle w:val="Contenutocornic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ATS CAMPOBASSO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asella di testo 2" fillcolor="white" stroked="f" style="position:absolute;margin-left:281.7pt;margin-top:16.05pt;width:197.2pt;height:23.1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ATS CAMPOBASSO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E395F" w:rsidRDefault="005E395F">
      <w:pPr>
        <w:pStyle w:val="Corpotesto"/>
        <w:rPr>
          <w:b/>
          <w:sz w:val="36"/>
        </w:rPr>
      </w:pPr>
    </w:p>
    <w:p w:rsidR="005E395F" w:rsidRDefault="005E395F">
      <w:pPr>
        <w:pStyle w:val="Corpotesto"/>
        <w:rPr>
          <w:b/>
          <w:sz w:val="36"/>
        </w:rPr>
      </w:pPr>
    </w:p>
    <w:p w:rsidR="005E395F" w:rsidRDefault="005E395F">
      <w:pPr>
        <w:pStyle w:val="Corpotesto"/>
        <w:rPr>
          <w:b/>
          <w:sz w:val="48"/>
        </w:rPr>
      </w:pPr>
    </w:p>
    <w:p w:rsidR="005E395F" w:rsidRDefault="005E395F">
      <w:pPr>
        <w:pStyle w:val="Corpotesto"/>
        <w:rPr>
          <w:b/>
          <w:sz w:val="48"/>
        </w:rPr>
      </w:pPr>
    </w:p>
    <w:p w:rsidR="005E395F" w:rsidRDefault="005E395F">
      <w:pPr>
        <w:pStyle w:val="Corpotesto"/>
        <w:rPr>
          <w:b/>
          <w:sz w:val="48"/>
        </w:rPr>
      </w:pPr>
    </w:p>
    <w:p w:rsidR="005E395F" w:rsidRDefault="005E395F">
      <w:pPr>
        <w:pStyle w:val="Corpotesto"/>
        <w:rPr>
          <w:b/>
          <w:sz w:val="32"/>
          <w:szCs w:val="32"/>
        </w:rPr>
      </w:pPr>
    </w:p>
    <w:p w:rsidR="005E395F" w:rsidRDefault="003251AB">
      <w:pPr>
        <w:pStyle w:val="Titolo1"/>
        <w:ind w:left="879" w:right="879" w:firstLine="0"/>
        <w:jc w:val="center"/>
        <w:rPr>
          <w:sz w:val="32"/>
          <w:szCs w:val="32"/>
        </w:rPr>
      </w:pPr>
      <w:r>
        <w:rPr>
          <w:sz w:val="32"/>
          <w:szCs w:val="32"/>
        </w:rPr>
        <w:t>LEGGE REGIONALE 5 GIUGNO 2020, N. 6</w:t>
      </w:r>
    </w:p>
    <w:p w:rsidR="005E395F" w:rsidRDefault="003251AB">
      <w:pPr>
        <w:ind w:left="946" w:right="879"/>
        <w:jc w:val="center"/>
        <w:rPr>
          <w:b/>
          <w:sz w:val="32"/>
          <w:szCs w:val="32"/>
        </w:rPr>
        <w:sectPr w:rsidR="005E395F">
          <w:pgSz w:w="11906" w:h="16838"/>
          <w:pgMar w:top="1580" w:right="1020" w:bottom="280" w:left="1020" w:header="0" w:footer="0" w:gutter="0"/>
          <w:cols w:space="720"/>
          <w:formProt w:val="0"/>
          <w:docGrid w:linePitch="100"/>
        </w:sectPr>
      </w:pPr>
      <w:r>
        <w:rPr>
          <w:b/>
          <w:sz w:val="32"/>
          <w:szCs w:val="32"/>
        </w:rPr>
        <w:t>“CONTRIBUTI A SOSTEGNO DELLE ATTIVITÀ A FAVORE DI PAZIENTI ONCOLOGICI SOTTOPOSTI A CHEMIOTERAPIA”</w:t>
      </w:r>
    </w:p>
    <w:p w:rsidR="005E395F" w:rsidRDefault="003251AB">
      <w:pPr>
        <w:pStyle w:val="Paragrafoelenco"/>
        <w:numPr>
          <w:ilvl w:val="0"/>
          <w:numId w:val="6"/>
        </w:numPr>
        <w:tabs>
          <w:tab w:val="left" w:pos="828"/>
        </w:tabs>
        <w:spacing w:before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thick"/>
        </w:rPr>
        <w:lastRenderedPageBreak/>
        <w:t>INTERVENTO, SOGGETTI,</w:t>
      </w:r>
      <w:r>
        <w:rPr>
          <w:rFonts w:ascii="Times New Roman" w:hAnsi="Times New Roman"/>
          <w:b/>
          <w:spacing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sz w:val="24"/>
          <w:szCs w:val="24"/>
          <w:u w:val="thick"/>
        </w:rPr>
        <w:t>RISORSE</w:t>
      </w:r>
    </w:p>
    <w:p w:rsidR="005E395F" w:rsidRDefault="005E395F">
      <w:pPr>
        <w:pStyle w:val="Corpotesto"/>
        <w:rPr>
          <w:rFonts w:ascii="Times New Roman" w:hAnsi="Times New Roman"/>
          <w:b/>
        </w:rPr>
      </w:pPr>
    </w:p>
    <w:p w:rsidR="005E395F" w:rsidRDefault="005E395F">
      <w:pPr>
        <w:pStyle w:val="Corpotesto"/>
        <w:spacing w:before="11"/>
        <w:rPr>
          <w:rFonts w:ascii="Times New Roman" w:hAnsi="Times New Roman"/>
          <w:b/>
        </w:rPr>
      </w:pPr>
    </w:p>
    <w:p w:rsidR="005E395F" w:rsidRDefault="003251AB">
      <w:pPr>
        <w:pStyle w:val="Paragrafoelenco"/>
        <w:numPr>
          <w:ilvl w:val="0"/>
          <w:numId w:val="5"/>
        </w:numPr>
        <w:tabs>
          <w:tab w:val="left" w:pos="315"/>
        </w:tabs>
        <w:spacing w:before="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FINALITA’</w:t>
      </w:r>
    </w:p>
    <w:p w:rsidR="005E395F" w:rsidRDefault="003251AB">
      <w:pPr>
        <w:pStyle w:val="Corpotesto"/>
        <w:ind w:left="113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finalità della misura è sostenere i pazienti oncologici affetti da alopecia a seguito di trattamento antitumorale, mediante un contributo economico per l’acquisto di una parrucca, quale ausilio che può concorrere a migliorare la qualità della </w:t>
      </w:r>
      <w:r>
        <w:rPr>
          <w:rFonts w:ascii="Times New Roman" w:hAnsi="Times New Roman"/>
        </w:rPr>
        <w:t>vita e l’inclusione sociale.</w:t>
      </w: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3251AB">
      <w:pPr>
        <w:pStyle w:val="Paragrafoelenco"/>
        <w:numPr>
          <w:ilvl w:val="0"/>
          <w:numId w:val="5"/>
        </w:numPr>
        <w:tabs>
          <w:tab w:val="left" w:pos="3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RIFERIMENTI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NORMATIVI</w:t>
      </w:r>
    </w:p>
    <w:p w:rsidR="005E395F" w:rsidRDefault="003251AB">
      <w:pPr>
        <w:pStyle w:val="Paragrafoelenco"/>
        <w:numPr>
          <w:ilvl w:val="1"/>
          <w:numId w:val="5"/>
        </w:numPr>
        <w:tabs>
          <w:tab w:val="left" w:pos="828"/>
        </w:tabs>
        <w:ind w:righ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Legge Regionale 5 giugno 2020, n. 6 “Contributi a sostegno delle attività a favore di pazienti oncologici sottoposti 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chemioterapia”</w:t>
      </w:r>
    </w:p>
    <w:p w:rsidR="005E395F" w:rsidRDefault="003251AB">
      <w:pPr>
        <w:pStyle w:val="Paragrafoelenco"/>
        <w:numPr>
          <w:ilvl w:val="1"/>
          <w:numId w:val="5"/>
        </w:numPr>
        <w:tabs>
          <w:tab w:val="left" w:pos="828"/>
        </w:tabs>
        <w:ind w:left="827" w:righ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Deliberazione della Giunta Regionale del 23 dicembre 2020, n. 496 “L.R</w:t>
      </w:r>
      <w:r>
        <w:rPr>
          <w:rFonts w:ascii="Times New Roman" w:hAnsi="Times New Roman"/>
          <w:sz w:val="24"/>
          <w:szCs w:val="24"/>
        </w:rPr>
        <w:t>. n. 6/2020; contributi per l’acquisto di parrucche in favore di pazienti oncologici. Indirizzi operativi”;</w:t>
      </w:r>
    </w:p>
    <w:p w:rsidR="005E395F" w:rsidRDefault="003251AB">
      <w:pPr>
        <w:pStyle w:val="Paragrafoelenco"/>
        <w:numPr>
          <w:ilvl w:val="1"/>
          <w:numId w:val="5"/>
        </w:numPr>
        <w:tabs>
          <w:tab w:val="left" w:pos="828"/>
        </w:tabs>
        <w:ind w:righ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Determinazione Dirigenziale Servizio Programmazione delle Politiche Sociali n. 7897 del 30 dicembre 2020 “L.R. n. 6/2020; contributi per l’acquisto </w:t>
      </w:r>
      <w:r>
        <w:rPr>
          <w:rFonts w:ascii="Times New Roman" w:hAnsi="Times New Roman"/>
          <w:sz w:val="24"/>
          <w:szCs w:val="24"/>
        </w:rPr>
        <w:t>di parrucche in favore di pazienti oncologici - Impegno di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spesa”.</w:t>
      </w: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3251AB">
      <w:pPr>
        <w:pStyle w:val="Paragrafoelenco"/>
        <w:numPr>
          <w:ilvl w:val="0"/>
          <w:numId w:val="5"/>
        </w:numPr>
        <w:tabs>
          <w:tab w:val="left" w:pos="3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SOGGETTI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BENEFICIARI</w:t>
      </w:r>
    </w:p>
    <w:p w:rsidR="005E395F" w:rsidRDefault="003251AB">
      <w:pPr>
        <w:pStyle w:val="Corpotesto"/>
        <w:ind w:left="113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Persone residenti nella Regione Molise alla data di presentazione della domanda di contributo, affette da alopecia a seguito di trattamento antitumorale e appartenenti</w:t>
      </w:r>
      <w:r>
        <w:rPr>
          <w:rFonts w:ascii="Times New Roman" w:hAnsi="Times New Roman"/>
        </w:rPr>
        <w:t xml:space="preserve"> ad un nucleo familiare con ultima dichiarazione</w:t>
      </w:r>
      <w:r>
        <w:rPr>
          <w:rFonts w:ascii="Times New Roman" w:hAnsi="Times New Roman"/>
          <w:b/>
          <w:bCs/>
        </w:rPr>
        <w:t xml:space="preserve"> ISEE pari o inferiore a 40.000,00 euro.</w:t>
      </w:r>
    </w:p>
    <w:p w:rsidR="005E395F" w:rsidRDefault="003251AB">
      <w:pPr>
        <w:pStyle w:val="Corpotesto"/>
        <w:ind w:left="114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Ogni persona può presentare al massimo una sola domanda di partecipazione al presente avviso e può accedere al contributo economico una sola volta ogni due anni.</w:t>
      </w: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3251AB">
      <w:pPr>
        <w:pStyle w:val="Paragrafoelenco"/>
        <w:numPr>
          <w:ilvl w:val="0"/>
          <w:numId w:val="5"/>
        </w:numPr>
        <w:tabs>
          <w:tab w:val="left" w:pos="3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DOTAZIONE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FINANZIARIA</w:t>
      </w:r>
    </w:p>
    <w:p w:rsidR="005E395F" w:rsidRDefault="003251AB">
      <w:pPr>
        <w:pStyle w:val="Corpotesto"/>
        <w:ind w:left="113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dotazione finanziaria messa a disposizione per il presente avviso è pari a euro 35.000,00, in base a quanto previsto dalla L.R. n. 6/2020 e dalla D.D. n. 7897 del 30/12/2020, per il finanziamento delle domande presentate </w:t>
      </w:r>
      <w:r>
        <w:rPr>
          <w:rFonts w:ascii="Times New Roman" w:hAnsi="Times New Roman"/>
          <w:b/>
        </w:rPr>
        <w:t>entro 90 g</w:t>
      </w:r>
      <w:r>
        <w:rPr>
          <w:rFonts w:ascii="Times New Roman" w:hAnsi="Times New Roman"/>
          <w:b/>
        </w:rPr>
        <w:t>iorni dalla pubblicazione del presente Avviso.</w:t>
      </w:r>
    </w:p>
    <w:p w:rsidR="005E395F" w:rsidRDefault="003251AB">
      <w:pPr>
        <w:pStyle w:val="Corpotesto"/>
        <w:ind w:left="113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domande che soddisfano tutti i requisiti previsti dal presente Avviso saranno finanziate in base all’ordine di invio al protocollo delle stesse, fino ad esaurimento delle risorse assegnate agli Ambiti </w:t>
      </w:r>
      <w:r>
        <w:rPr>
          <w:rFonts w:ascii="Times New Roman" w:hAnsi="Times New Roman"/>
        </w:rPr>
        <w:t>Territoriali Sociali con D.D. Servizio Programmazione delle Politiche Sociali n. 7897 del 30/12/2020.</w:t>
      </w:r>
    </w:p>
    <w:p w:rsidR="005E395F" w:rsidRDefault="003251AB">
      <w:pPr>
        <w:pStyle w:val="Corpotesto"/>
        <w:ind w:left="113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Successivamente al raggiungimento dello stanziamento programmato, nel caso in cui risultino eventuali economie generate da rinunce/revoche/decadenze rifer</w:t>
      </w:r>
      <w:r>
        <w:rPr>
          <w:rFonts w:ascii="Times New Roman" w:hAnsi="Times New Roman"/>
        </w:rPr>
        <w:t>ite a domande in precedenza ammesse e finanziate, sarà comunque possibile ammettere a finanziamento le domande pervenute nei termini sopra riportati ed escluse per mancanza di risorse, purché presentino i requisiti richiesti dal presente avviso.</w:t>
      </w: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3251AB">
      <w:pPr>
        <w:pStyle w:val="Titolo1"/>
        <w:numPr>
          <w:ilvl w:val="0"/>
          <w:numId w:val="6"/>
        </w:numPr>
        <w:tabs>
          <w:tab w:val="left" w:pos="834"/>
        </w:tabs>
        <w:ind w:left="834" w:hanging="360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CARATTER</w:t>
      </w:r>
      <w:r>
        <w:rPr>
          <w:rFonts w:ascii="Times New Roman" w:hAnsi="Times New Roman"/>
          <w:u w:val="thick"/>
        </w:rPr>
        <w:t>ISTICHE DEL</w:t>
      </w:r>
      <w:r>
        <w:rPr>
          <w:rFonts w:ascii="Times New Roman" w:hAnsi="Times New Roman"/>
          <w:spacing w:val="-3"/>
          <w:u w:val="thick"/>
        </w:rPr>
        <w:t xml:space="preserve"> </w:t>
      </w:r>
      <w:r>
        <w:rPr>
          <w:rFonts w:ascii="Times New Roman" w:hAnsi="Times New Roman"/>
          <w:u w:val="thick"/>
        </w:rPr>
        <w:t>FINANZIAMENTO</w:t>
      </w:r>
    </w:p>
    <w:p w:rsidR="005E395F" w:rsidRDefault="005E395F">
      <w:pPr>
        <w:pStyle w:val="Corpotesto"/>
        <w:rPr>
          <w:rFonts w:ascii="Times New Roman" w:hAnsi="Times New Roman"/>
          <w:b/>
        </w:rPr>
      </w:pPr>
    </w:p>
    <w:p w:rsidR="005E395F" w:rsidRDefault="003251AB">
      <w:pPr>
        <w:pStyle w:val="Paragrafoelenco"/>
        <w:numPr>
          <w:ilvl w:val="0"/>
          <w:numId w:val="4"/>
        </w:numPr>
        <w:tabs>
          <w:tab w:val="left" w:pos="315"/>
        </w:tabs>
        <w:spacing w:before="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CARATTERISTICHE DEL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CONTRIBUTO</w:t>
      </w:r>
    </w:p>
    <w:p w:rsidR="005E395F" w:rsidRDefault="003251AB">
      <w:pPr>
        <w:pStyle w:val="Corpotesto"/>
        <w:ind w:left="113" w:right="112"/>
        <w:jc w:val="both"/>
        <w:rPr>
          <w:rFonts w:ascii="Times New Roman" w:hAnsi="Times New Roman"/>
        </w:rPr>
        <w:sectPr w:rsidR="005E395F">
          <w:pgSz w:w="11906" w:h="16838"/>
          <w:pgMar w:top="993" w:right="1020" w:bottom="280" w:left="102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</w:rPr>
        <w:t>Il presente avviso, finanziato con risorse proprie della Regione Molise, è finalizzato a sostenere l’acquisto di parrucche in favore di pazienti oncologici affetti da alopeci</w:t>
      </w:r>
      <w:r>
        <w:rPr>
          <w:rFonts w:ascii="Times New Roman" w:hAnsi="Times New Roman"/>
        </w:rPr>
        <w:t>a a seguito di trattamento antitumorale</w:t>
      </w:r>
    </w:p>
    <w:p w:rsidR="005E395F" w:rsidRDefault="003251AB">
      <w:pPr>
        <w:pStyle w:val="Corpotesto"/>
        <w:spacing w:before="70"/>
        <w:ind w:left="114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L’ammontare del contributo è stabilito nella misura massima di </w:t>
      </w:r>
      <w:r>
        <w:rPr>
          <w:rFonts w:ascii="Times New Roman" w:hAnsi="Times New Roman"/>
          <w:b/>
          <w:bCs/>
        </w:rPr>
        <w:t xml:space="preserve">euro 400,00 </w:t>
      </w:r>
      <w:r>
        <w:rPr>
          <w:rFonts w:ascii="Times New Roman" w:hAnsi="Times New Roman"/>
        </w:rPr>
        <w:t>a persona per l’acquisto di una parrucca, nei limiti delle risorse assegnate agli Ambiti Territoriali Sociali con D.D. n. 7897 del 30/12/2020</w:t>
      </w:r>
      <w:r>
        <w:rPr>
          <w:rFonts w:ascii="Times New Roman" w:hAnsi="Times New Roman"/>
        </w:rPr>
        <w:t>.</w:t>
      </w:r>
    </w:p>
    <w:p w:rsidR="005E395F" w:rsidRDefault="003251AB">
      <w:pPr>
        <w:pStyle w:val="Corpotesto"/>
        <w:ind w:left="113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caso in cui il costo di acquisto della parrucca sia inferiore o pari a euro 400,00 il contributo erogabile sarà pari al costo di acquisto.</w:t>
      </w:r>
    </w:p>
    <w:p w:rsidR="005E395F" w:rsidRDefault="003251AB">
      <w:pPr>
        <w:pStyle w:val="Corpotesto"/>
        <w:ind w:left="114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contributo si configura come contributo a fondo perduto e non rileva ai fini degli aiuti di stato essendo de</w:t>
      </w:r>
      <w:r>
        <w:rPr>
          <w:rFonts w:ascii="Times New Roman" w:hAnsi="Times New Roman"/>
        </w:rPr>
        <w:t>stinato a singoli individui.</w:t>
      </w: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3251AB">
      <w:pPr>
        <w:pStyle w:val="Paragrafoelenco"/>
        <w:numPr>
          <w:ilvl w:val="0"/>
          <w:numId w:val="4"/>
        </w:numPr>
        <w:tabs>
          <w:tab w:val="left" w:pos="3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SPESE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AMMISSIBILI</w:t>
      </w:r>
    </w:p>
    <w:p w:rsidR="005E395F" w:rsidRDefault="003251AB">
      <w:pPr>
        <w:pStyle w:val="Corpotesto"/>
        <w:ind w:left="114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E’ ammissibile al contributo esclusivamente il costo sostenuto per l’acquisto di una parrucca.</w:t>
      </w:r>
    </w:p>
    <w:p w:rsidR="005E395F" w:rsidRDefault="003251AB">
      <w:pPr>
        <w:pStyle w:val="Corpotesto"/>
        <w:ind w:left="114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Saranno ritenute ammissibili le spese sostenute per l’acquisto di una parrucca dalla data del 5 giugno 2020 (data</w:t>
      </w:r>
      <w:r>
        <w:rPr>
          <w:rFonts w:ascii="Times New Roman" w:hAnsi="Times New Roman"/>
        </w:rPr>
        <w:t xml:space="preserve"> di promulgazione della L.R. n. 6/2020) fino alla data di presentazione della domanda di contributo di cui al presente avviso.</w:t>
      </w: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3251AB">
      <w:pPr>
        <w:pStyle w:val="Titolo1"/>
        <w:numPr>
          <w:ilvl w:val="0"/>
          <w:numId w:val="6"/>
        </w:numPr>
        <w:tabs>
          <w:tab w:val="left" w:pos="834"/>
        </w:tabs>
        <w:ind w:left="834" w:hanging="360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FASI E TEMPI DEL</w:t>
      </w:r>
      <w:r>
        <w:rPr>
          <w:rFonts w:ascii="Times New Roman" w:hAnsi="Times New Roman"/>
          <w:spacing w:val="-4"/>
          <w:u w:val="thick"/>
        </w:rPr>
        <w:t xml:space="preserve"> </w:t>
      </w:r>
      <w:r>
        <w:rPr>
          <w:rFonts w:ascii="Times New Roman" w:hAnsi="Times New Roman"/>
          <w:u w:val="thick"/>
        </w:rPr>
        <w:t>PROCEDIMENTO</w:t>
      </w:r>
    </w:p>
    <w:p w:rsidR="005E395F" w:rsidRDefault="005E395F">
      <w:pPr>
        <w:pStyle w:val="Corpotesto"/>
        <w:spacing w:before="11"/>
        <w:rPr>
          <w:rFonts w:ascii="Times New Roman" w:hAnsi="Times New Roman"/>
          <w:b/>
        </w:rPr>
      </w:pPr>
    </w:p>
    <w:p w:rsidR="005E395F" w:rsidRDefault="003251AB">
      <w:pPr>
        <w:pStyle w:val="Paragrafoelenco"/>
        <w:numPr>
          <w:ilvl w:val="0"/>
          <w:numId w:val="3"/>
        </w:numPr>
        <w:tabs>
          <w:tab w:val="left" w:pos="315"/>
        </w:tabs>
        <w:spacing w:before="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MODALITA’ DI PRESENTAZIONE DELLE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DOMANDE</w:t>
      </w:r>
    </w:p>
    <w:p w:rsidR="005E395F" w:rsidRDefault="003251AB">
      <w:pPr>
        <w:pStyle w:val="Corpotesto"/>
        <w:ind w:left="1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domande devono essere presentate attraverso il </w:t>
      </w:r>
      <w:r>
        <w:rPr>
          <w:rFonts w:ascii="Times New Roman" w:hAnsi="Times New Roman"/>
        </w:rPr>
        <w:t>modello di domanda unico regionale</w:t>
      </w:r>
    </w:p>
    <w:p w:rsidR="005E395F" w:rsidRDefault="003251AB">
      <w:pPr>
        <w:ind w:left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approvato con D.D. n. 805 del 11/02/2021 </w:t>
      </w:r>
      <w:r>
        <w:rPr>
          <w:rFonts w:ascii="Times New Roman" w:hAnsi="Times New Roman"/>
          <w:sz w:val="24"/>
          <w:szCs w:val="24"/>
        </w:rPr>
        <w:t>allegato al presente avviso.</w:t>
      </w:r>
    </w:p>
    <w:p w:rsidR="005E395F" w:rsidRDefault="003251AB">
      <w:pPr>
        <w:pStyle w:val="Corpotesto"/>
        <w:ind w:left="114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modello di domanda, sottoscritto dal richiedente a pena di esclusione, deve essere compilato in ogni sua parte e allo stesso deve essere allegata tu</w:t>
      </w:r>
      <w:r>
        <w:rPr>
          <w:rFonts w:ascii="Times New Roman" w:hAnsi="Times New Roman"/>
        </w:rPr>
        <w:t>tta la documentazione richiesta.</w:t>
      </w:r>
    </w:p>
    <w:p w:rsidR="005E395F" w:rsidRDefault="003251AB">
      <w:pPr>
        <w:pStyle w:val="Corpotesto"/>
        <w:ind w:left="1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domande devono essere inoltrate ai seguenti Ambiti Territoriali Sociali:</w:t>
      </w:r>
    </w:p>
    <w:p w:rsidR="005E395F" w:rsidRDefault="003251AB">
      <w:pPr>
        <w:pStyle w:val="Paragrafoelenco"/>
        <w:numPr>
          <w:ilvl w:val="0"/>
          <w:numId w:val="2"/>
        </w:numPr>
        <w:tabs>
          <w:tab w:val="left" w:pos="834"/>
        </w:tabs>
        <w:ind w:righ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 i cittadini residenti nei Comuni ricadenti negli Ambiti Territoriali Sociali di Campobasso e Bojano-Riccia</w:t>
      </w:r>
      <w:r>
        <w:rPr>
          <w:rFonts w:ascii="Times New Roman" w:hAnsi="Times New Roman"/>
          <w:sz w:val="24"/>
          <w:szCs w:val="24"/>
        </w:rPr>
        <w:t xml:space="preserve"> sarà competente</w:t>
      </w:r>
      <w:r>
        <w:rPr>
          <w:rFonts w:ascii="Times New Roman" w:hAnsi="Times New Roman"/>
          <w:b/>
          <w:bCs/>
          <w:sz w:val="24"/>
          <w:szCs w:val="24"/>
        </w:rPr>
        <w:t xml:space="preserve"> l’Ambito Territorial</w:t>
      </w:r>
      <w:r>
        <w:rPr>
          <w:rFonts w:ascii="Times New Roman" w:hAnsi="Times New Roman"/>
          <w:b/>
          <w:bCs/>
          <w:sz w:val="24"/>
          <w:szCs w:val="24"/>
        </w:rPr>
        <w:t>e Sociale di Campobasso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Comune di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Campobasso);</w:t>
      </w:r>
    </w:p>
    <w:p w:rsidR="005E395F" w:rsidRDefault="003251AB">
      <w:pPr>
        <w:pStyle w:val="Paragrafoelenco"/>
        <w:numPr>
          <w:ilvl w:val="0"/>
          <w:numId w:val="2"/>
        </w:numPr>
        <w:tabs>
          <w:tab w:val="left" w:pos="834"/>
        </w:tabs>
        <w:ind w:left="833"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i cittadini residenti nei Comuni ricadenti negli Ambiti Territoriali Sociali di Isernia, Agnone e Venafro sarà competente </w:t>
      </w:r>
      <w:r>
        <w:rPr>
          <w:rFonts w:ascii="Times New Roman" w:hAnsi="Times New Roman"/>
          <w:b/>
          <w:bCs/>
          <w:sz w:val="24"/>
          <w:szCs w:val="24"/>
        </w:rPr>
        <w:t>l’Ambito Territoriale Sociale di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Isernia </w:t>
      </w:r>
      <w:r>
        <w:rPr>
          <w:rFonts w:ascii="Times New Roman" w:hAnsi="Times New Roman"/>
          <w:b/>
          <w:bCs/>
          <w:sz w:val="24"/>
          <w:szCs w:val="24"/>
        </w:rPr>
        <w:t>(Comune di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Isernia);</w:t>
      </w:r>
    </w:p>
    <w:p w:rsidR="005E395F" w:rsidRDefault="003251AB">
      <w:pPr>
        <w:pStyle w:val="Paragrafoelenco"/>
        <w:numPr>
          <w:ilvl w:val="0"/>
          <w:numId w:val="2"/>
        </w:numPr>
        <w:tabs>
          <w:tab w:val="left" w:pos="834"/>
        </w:tabs>
        <w:ind w:left="833" w:righ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i cittadini </w:t>
      </w:r>
      <w:r>
        <w:rPr>
          <w:rFonts w:ascii="Times New Roman" w:hAnsi="Times New Roman"/>
          <w:sz w:val="24"/>
          <w:szCs w:val="24"/>
        </w:rPr>
        <w:t>residenti nei Comuni ricadenti negli Ambiti Territoriali Sociali di Termoli e Larino, sarà competente l’</w:t>
      </w:r>
      <w:r>
        <w:rPr>
          <w:rFonts w:ascii="Times New Roman" w:hAnsi="Times New Roman"/>
          <w:b/>
          <w:bCs/>
          <w:sz w:val="24"/>
          <w:szCs w:val="24"/>
        </w:rPr>
        <w:t>Ambito Territoriale Sociale di Termoli (Comune di Termoli</w:t>
      </w:r>
      <w:r>
        <w:rPr>
          <w:rFonts w:ascii="Times New Roman" w:hAnsi="Times New Roman"/>
          <w:sz w:val="24"/>
          <w:szCs w:val="24"/>
        </w:rPr>
        <w:t>);</w:t>
      </w:r>
    </w:p>
    <w:p w:rsidR="005E395F" w:rsidRDefault="005E395F">
      <w:pPr>
        <w:pStyle w:val="Paragrafoelenco"/>
        <w:tabs>
          <w:tab w:val="left" w:pos="834"/>
        </w:tabs>
        <w:ind w:left="834" w:right="112" w:firstLine="0"/>
        <w:rPr>
          <w:rFonts w:ascii="Times New Roman" w:hAnsi="Times New Roman"/>
          <w:b/>
          <w:sz w:val="24"/>
          <w:szCs w:val="24"/>
        </w:rPr>
      </w:pPr>
    </w:p>
    <w:p w:rsidR="005E395F" w:rsidRDefault="003251AB">
      <w:pPr>
        <w:pStyle w:val="Corpotesto"/>
        <w:ind w:left="114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Per quanto concerne la competenza </w:t>
      </w:r>
      <w:r>
        <w:rPr>
          <w:rFonts w:ascii="Times New Roman" w:hAnsi="Times New Roman"/>
          <w:b/>
          <w:bCs/>
          <w:u w:val="single"/>
        </w:rPr>
        <w:t>dell’Ambito Territoriale Sociale di Campobasso,</w:t>
      </w:r>
      <w:r>
        <w:rPr>
          <w:rFonts w:ascii="Times New Roman" w:hAnsi="Times New Roman"/>
          <w:u w:val="single"/>
        </w:rPr>
        <w:t xml:space="preserve"> le domand</w:t>
      </w:r>
      <w:r>
        <w:rPr>
          <w:rFonts w:ascii="Times New Roman" w:hAnsi="Times New Roman"/>
          <w:u w:val="single"/>
        </w:rPr>
        <w:t>e devono essere presentate esclusivamente a mezzo pec, al seguente indirizzo:</w:t>
      </w:r>
    </w:p>
    <w:p w:rsidR="005E395F" w:rsidRDefault="003251AB">
      <w:pPr>
        <w:pStyle w:val="Paragrafoelenco"/>
        <w:tabs>
          <w:tab w:val="left" w:pos="834"/>
        </w:tabs>
        <w:ind w:left="834" w:right="112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comune.campobasso.protocollo@pec.it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</w:p>
    <w:p w:rsidR="005E395F" w:rsidRDefault="005E395F">
      <w:pPr>
        <w:pStyle w:val="Paragrafoelenco"/>
        <w:tabs>
          <w:tab w:val="left" w:pos="901"/>
        </w:tabs>
        <w:ind w:left="1307" w:firstLine="0"/>
        <w:rPr>
          <w:rFonts w:ascii="Times New Roman" w:hAnsi="Times New Roman"/>
          <w:sz w:val="24"/>
          <w:szCs w:val="24"/>
        </w:rPr>
      </w:pPr>
    </w:p>
    <w:p w:rsidR="005E395F" w:rsidRDefault="003251AB">
      <w:pPr>
        <w:ind w:left="114" w:right="1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domande di partecipazione devono essere inviate </w:t>
      </w:r>
      <w:r>
        <w:rPr>
          <w:rFonts w:ascii="Times New Roman" w:hAnsi="Times New Roman"/>
          <w:b/>
          <w:sz w:val="24"/>
          <w:szCs w:val="24"/>
        </w:rPr>
        <w:t xml:space="preserve">entro 90 giorni dalla pubblicazione del presente avviso che avverrà il 20/06/2022. </w:t>
      </w:r>
      <w:r>
        <w:rPr>
          <w:rFonts w:ascii="Times New Roman" w:hAnsi="Times New Roman"/>
          <w:sz w:val="24"/>
          <w:szCs w:val="24"/>
        </w:rPr>
        <w:t xml:space="preserve">Ai </w:t>
      </w:r>
      <w:r>
        <w:rPr>
          <w:rFonts w:ascii="Times New Roman" w:hAnsi="Times New Roman"/>
          <w:sz w:val="24"/>
          <w:szCs w:val="24"/>
        </w:rPr>
        <w:t>fini della verifica della data di presentazione della domanda farà fede, in caso di pec, la data di invio al protocollo registrata dalla procedura online.</w:t>
      </w: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3251AB">
      <w:pPr>
        <w:pStyle w:val="Corpotesto"/>
        <w:ind w:left="114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mancata osservanza delle modalità di presentazione costituirà causa di inammissibilità formale de</w:t>
      </w:r>
      <w:r>
        <w:rPr>
          <w:rFonts w:ascii="Times New Roman" w:hAnsi="Times New Roman"/>
        </w:rPr>
        <w:t>lla domanda di partecipazione.</w:t>
      </w: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3251AB">
      <w:pPr>
        <w:pStyle w:val="Paragrafoelenco"/>
        <w:numPr>
          <w:ilvl w:val="0"/>
          <w:numId w:val="3"/>
        </w:numPr>
        <w:tabs>
          <w:tab w:val="left" w:pos="3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TIPOLOGIA DI PROCEDURA PER L’ASSEGNAZIONE DELLE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RISORSE</w:t>
      </w:r>
    </w:p>
    <w:p w:rsidR="005E395F" w:rsidRDefault="003251AB">
      <w:pPr>
        <w:pStyle w:val="Corpotesto"/>
        <w:ind w:left="114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procedura di presentazione delle istanze è a sportello, le domande saranno valutate in ordine di presentazione a condizione di rispettare i requisiti di ammissibilit</w:t>
      </w:r>
      <w:r>
        <w:rPr>
          <w:rFonts w:ascii="Times New Roman" w:hAnsi="Times New Roman"/>
        </w:rPr>
        <w:t>à e fino ad esaurimento delle risorse assegnate agli Ambiti Territoriali Sociali con D.D. Servizio Programmazione delle Politiche Sociali n. 7897 del 30/12/2020.</w:t>
      </w:r>
    </w:p>
    <w:p w:rsidR="005E395F" w:rsidRDefault="003251AB">
      <w:pPr>
        <w:pStyle w:val="Corpotesto"/>
        <w:spacing w:before="70"/>
        <w:ind w:left="114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L’assegnazione dei contributi è subordinata alla disponibilità delle risorse, come richiamato </w:t>
      </w:r>
      <w:r>
        <w:rPr>
          <w:rFonts w:ascii="Times New Roman" w:hAnsi="Times New Roman"/>
        </w:rPr>
        <w:t>al precedente punto B, paragrafo 1.</w:t>
      </w: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3251AB">
      <w:pPr>
        <w:pStyle w:val="Paragrafoelenco"/>
        <w:numPr>
          <w:ilvl w:val="0"/>
          <w:numId w:val="3"/>
        </w:numPr>
        <w:tabs>
          <w:tab w:val="left" w:pos="3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ISTRUTTORIA</w:t>
      </w:r>
    </w:p>
    <w:p w:rsidR="005E395F" w:rsidRDefault="003251AB">
      <w:pPr>
        <w:pStyle w:val="Corpotesto"/>
        <w:ind w:left="113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Entro venti giorni dalla protocollazione della domanda, l’ATS competente per territorio provvede all’istruttoria della stessa, verificando la sussistenza dei requisiti di ammissibilità dei soggetti richiede</w:t>
      </w:r>
      <w:r>
        <w:rPr>
          <w:rFonts w:ascii="Times New Roman" w:hAnsi="Times New Roman"/>
        </w:rPr>
        <w:t>nti, la correttezza della modalità di presentazione della domanda di partecipazione, la completezza e la correttezza documentale.</w:t>
      </w:r>
    </w:p>
    <w:p w:rsidR="005E395F" w:rsidRDefault="003251AB">
      <w:pPr>
        <w:pStyle w:val="Corpotesto"/>
        <w:ind w:left="113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L’ATS si riserva la facoltà di richiedere ai soggetti richiedenti i chiarimenti e le integrazioni che si rendessero necessari,</w:t>
      </w:r>
      <w:r>
        <w:rPr>
          <w:rFonts w:ascii="Times New Roman" w:hAnsi="Times New Roman"/>
        </w:rPr>
        <w:t xml:space="preserve"> fissando un termine per la risposta che dovrà essere fornita dal soggetto richiedente entro i termini fissati. In tale ipotesi i termini temporali indicati per la conclusione dell’istruttoria si intendono interrotti sino al ricevimento della documentazion</w:t>
      </w:r>
      <w:r>
        <w:rPr>
          <w:rFonts w:ascii="Times New Roman" w:hAnsi="Times New Roman"/>
        </w:rPr>
        <w:t xml:space="preserve">e integrativa. </w:t>
      </w:r>
    </w:p>
    <w:p w:rsidR="005E395F" w:rsidRDefault="003251AB">
      <w:pPr>
        <w:pStyle w:val="Corpotesto"/>
        <w:ind w:left="113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mancata risposta del soggetto richiedente entro il termine stabilito costituisce causa di non ammissibilità della domanda.</w:t>
      </w:r>
    </w:p>
    <w:p w:rsidR="005E395F" w:rsidRDefault="003251AB">
      <w:pPr>
        <w:pStyle w:val="Corpotesto"/>
        <w:ind w:left="113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L’ATS competente, accertata la disponibilità delle risorse assegnate per la misura, approva con proprio </w:t>
      </w:r>
      <w:r>
        <w:rPr>
          <w:rFonts w:ascii="Times New Roman" w:hAnsi="Times New Roman"/>
        </w:rPr>
        <w:t>provvedimento le istanze da ammettere a contributo e le trasmette, unitamente allo stesso provvedimento, alla Regione Molise che, nei successivi 10 giorni, autorizzerà l’ATS ad erogare il contributo economico in un’unica soluzione. Gli ATS,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entro 20 giorni</w:t>
      </w:r>
      <w:r>
        <w:rPr>
          <w:rFonts w:ascii="Times New Roman" w:hAnsi="Times New Roman"/>
        </w:rPr>
        <w:t xml:space="preserve"> dall’autorizzazione regionale, provvederanno a liquidare il contributo ai beneficiari, dandone comunicazione agli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stessi.</w:t>
      </w: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3251AB">
      <w:pPr>
        <w:pStyle w:val="Titolo1"/>
        <w:numPr>
          <w:ilvl w:val="0"/>
          <w:numId w:val="6"/>
        </w:numPr>
        <w:tabs>
          <w:tab w:val="left" w:pos="834"/>
        </w:tabs>
        <w:ind w:left="834" w:hanging="360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DISPOSIZIONI</w:t>
      </w:r>
      <w:r>
        <w:rPr>
          <w:rFonts w:ascii="Times New Roman" w:hAnsi="Times New Roman"/>
          <w:spacing w:val="-2"/>
          <w:u w:val="thick"/>
        </w:rPr>
        <w:t xml:space="preserve"> </w:t>
      </w:r>
      <w:r>
        <w:rPr>
          <w:rFonts w:ascii="Times New Roman" w:hAnsi="Times New Roman"/>
          <w:u w:val="thick"/>
        </w:rPr>
        <w:t>FINALI</w:t>
      </w:r>
    </w:p>
    <w:p w:rsidR="005E395F" w:rsidRDefault="005E395F">
      <w:pPr>
        <w:pStyle w:val="Corpotesto"/>
        <w:spacing w:before="11"/>
        <w:rPr>
          <w:rFonts w:ascii="Times New Roman" w:hAnsi="Times New Roman"/>
          <w:b/>
        </w:rPr>
      </w:pPr>
    </w:p>
    <w:p w:rsidR="005E395F" w:rsidRDefault="003251AB">
      <w:pPr>
        <w:pStyle w:val="Paragrafoelenco"/>
        <w:numPr>
          <w:ilvl w:val="0"/>
          <w:numId w:val="1"/>
        </w:numPr>
        <w:tabs>
          <w:tab w:val="left" w:pos="315"/>
        </w:tabs>
        <w:spacing w:before="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OBBLIGHI DEI SOGGETTI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BENEFICIARI</w:t>
      </w:r>
    </w:p>
    <w:p w:rsidR="005E395F" w:rsidRDefault="003251AB">
      <w:pPr>
        <w:pStyle w:val="Corpotesto"/>
        <w:ind w:left="113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beneficiario del contributo si impegna ad accettare tutte le prescrizioni</w:t>
      </w:r>
      <w:r>
        <w:rPr>
          <w:rFonts w:ascii="Times New Roman" w:hAnsi="Times New Roman"/>
        </w:rPr>
        <w:t xml:space="preserve"> del presente avviso e a fornire, nei tempi e nei modi di volta in volta indicati, l’integrazione documentale, qualora richiesta.</w:t>
      </w: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3251AB">
      <w:pPr>
        <w:pStyle w:val="Paragrafoelenco"/>
        <w:numPr>
          <w:ilvl w:val="0"/>
          <w:numId w:val="1"/>
        </w:numPr>
        <w:tabs>
          <w:tab w:val="left" w:pos="3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DECADENZA, REVOCA E RINUNCIA DEI SOGGETTI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BENEFICIARI</w:t>
      </w:r>
    </w:p>
    <w:p w:rsidR="005E395F" w:rsidRDefault="003251AB">
      <w:pPr>
        <w:pStyle w:val="Corpotesto"/>
        <w:ind w:left="114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rinuncia al contributo, opportunamente motivata, deve essere comunic</w:t>
      </w:r>
      <w:r>
        <w:rPr>
          <w:rFonts w:ascii="Times New Roman" w:hAnsi="Times New Roman"/>
        </w:rPr>
        <w:t>ata all’ATS competente tramite pec o raccomandata A.R..</w:t>
      </w: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3251AB">
      <w:pPr>
        <w:pStyle w:val="Corpotesto"/>
        <w:ind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Il contributo verrà revocato dall’ATS in caso di inosservanza e inadempienza delle disposizioni,   prescrizioni e vincoli previsti dall’avviso o qualora risultino false le dichiarazioni rese e sott</w:t>
      </w:r>
      <w:r>
        <w:rPr>
          <w:rFonts w:ascii="Times New Roman" w:hAnsi="Times New Roman"/>
        </w:rPr>
        <w:t>oscritte dal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beneficiario.</w:t>
      </w: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3251AB">
      <w:pPr>
        <w:pStyle w:val="Corpotesto"/>
        <w:ind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L’ATS si riserva di non liquidare il contributo oppure, se le somme sono già state erogate, di  adottare azioni di recupero delle somme indebitamente percepite.</w:t>
      </w: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3251AB">
      <w:pPr>
        <w:pStyle w:val="Paragrafoelenco"/>
        <w:numPr>
          <w:ilvl w:val="0"/>
          <w:numId w:val="1"/>
        </w:numPr>
        <w:tabs>
          <w:tab w:val="left" w:pos="3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CONTROLLI</w:t>
      </w: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3251AB">
      <w:pPr>
        <w:pStyle w:val="Corpotesto"/>
        <w:ind w:left="113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Gli ATS possono procedere ad una verifica a campione s</w:t>
      </w:r>
      <w:r>
        <w:rPr>
          <w:rFonts w:ascii="Times New Roman" w:hAnsi="Times New Roman"/>
        </w:rPr>
        <w:t>ulle autocertificazioni prodotte dagli istanti in fase di presentazione delle domande</w:t>
      </w: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3251AB">
      <w:pPr>
        <w:pStyle w:val="Corpotesto"/>
        <w:ind w:left="114"/>
        <w:rPr>
          <w:rFonts w:ascii="Times New Roman" w:hAnsi="Times New Roman"/>
        </w:rPr>
      </w:pPr>
      <w:r>
        <w:rPr>
          <w:rFonts w:ascii="Times New Roman" w:hAnsi="Times New Roman"/>
        </w:rPr>
        <w:t>D.4 PUBBLICAZIONE</w:t>
      </w:r>
    </w:p>
    <w:p w:rsidR="005E395F" w:rsidRDefault="005E395F">
      <w:pPr>
        <w:pStyle w:val="Corpotesto"/>
        <w:rPr>
          <w:rFonts w:ascii="Times New Roman" w:hAnsi="Times New Roman"/>
        </w:rPr>
      </w:pPr>
    </w:p>
    <w:p w:rsidR="005E395F" w:rsidRDefault="003251AB">
      <w:pPr>
        <w:pStyle w:val="Corpotesto"/>
        <w:ind w:left="114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Copia integrale del presente avviso e dell’allegato modello di domanda unico regionale è pubblicato sul sito della ASREM e sull’Albo pretorio online d</w:t>
      </w:r>
      <w:r>
        <w:rPr>
          <w:rFonts w:ascii="Times New Roman" w:hAnsi="Times New Roman"/>
        </w:rPr>
        <w:t>ella Regione Molise.</w:t>
      </w:r>
    </w:p>
    <w:p w:rsidR="005E395F" w:rsidRDefault="003251AB">
      <w:pPr>
        <w:pStyle w:val="Corpotesto"/>
        <w:ind w:left="113" w:right="113"/>
        <w:jc w:val="both"/>
      </w:pPr>
      <w:r>
        <w:rPr>
          <w:rFonts w:ascii="Times New Roman" w:hAnsi="Times New Roman"/>
        </w:rPr>
        <w:t xml:space="preserve">Qualsiasi informazione relativa al presente Avviso potrà essere richiesta all’ATS competente oppure al seguente indirizzo mail: </w:t>
      </w:r>
      <w:hyperlink r:id="rId7">
        <w:r>
          <w:rPr>
            <w:rFonts w:ascii="Times New Roman" w:hAnsi="Times New Roman"/>
            <w:color w:val="0000FF"/>
            <w:u w:val="single" w:color="0000FF"/>
          </w:rPr>
          <w:t>progsoc@regione.molise.it</w:t>
        </w:r>
      </w:hyperlink>
      <w:r>
        <w:rPr>
          <w:rFonts w:ascii="Times New Roman" w:hAnsi="Times New Roman"/>
        </w:rPr>
        <w:t xml:space="preserve">; specificando nell’oggetto </w:t>
      </w:r>
      <w:r>
        <w:rPr>
          <w:rFonts w:ascii="Times New Roman" w:hAnsi="Times New Roman"/>
        </w:rPr>
        <w:t>“richiesta informazioni avviso pubblico contributo acquisto parrucche”.</w:t>
      </w:r>
    </w:p>
    <w:p w:rsidR="005E395F" w:rsidRDefault="005E395F">
      <w:pPr>
        <w:pStyle w:val="Corpotesto"/>
        <w:spacing w:before="4"/>
        <w:rPr>
          <w:rFonts w:ascii="Times New Roman" w:hAnsi="Times New Roman"/>
        </w:rPr>
      </w:pPr>
    </w:p>
    <w:sectPr w:rsidR="005E395F">
      <w:pgSz w:w="11906" w:h="16838"/>
      <w:pgMar w:top="1580" w:right="1020" w:bottom="993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929"/>
    <w:multiLevelType w:val="multilevel"/>
    <w:tmpl w:val="164CA7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2D0C98"/>
    <w:multiLevelType w:val="multilevel"/>
    <w:tmpl w:val="BAF4CBB4"/>
    <w:lvl w:ilvl="0">
      <w:start w:val="1"/>
      <w:numFmt w:val="upperLetter"/>
      <w:lvlText w:val="%1."/>
      <w:lvlJc w:val="left"/>
      <w:pPr>
        <w:tabs>
          <w:tab w:val="num" w:pos="0"/>
        </w:tabs>
        <w:ind w:left="828" w:hanging="357"/>
      </w:pPr>
      <w:rPr>
        <w:rFonts w:ascii="Arial" w:eastAsia="Arial" w:hAnsi="Arial" w:cs="Arial"/>
        <w:b/>
        <w:bCs/>
        <w:spacing w:val="-17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4" w:hanging="35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9" w:hanging="35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33" w:hanging="35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38" w:hanging="35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43" w:hanging="35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47" w:hanging="35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2" w:hanging="35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56" w:hanging="357"/>
      </w:pPr>
      <w:rPr>
        <w:rFonts w:ascii="Symbol" w:hAnsi="Symbol" w:cs="Symbol" w:hint="default"/>
      </w:rPr>
    </w:lvl>
  </w:abstractNum>
  <w:abstractNum w:abstractNumId="2" w15:restartNumberingAfterBreak="0">
    <w:nsid w:val="6D31483E"/>
    <w:multiLevelType w:val="multilevel"/>
    <w:tmpl w:val="799A89E0"/>
    <w:lvl w:ilvl="0">
      <w:start w:val="1"/>
      <w:numFmt w:val="decimal"/>
      <w:lvlText w:val="%1"/>
      <w:lvlJc w:val="left"/>
      <w:pPr>
        <w:tabs>
          <w:tab w:val="num" w:pos="0"/>
        </w:tabs>
        <w:ind w:left="314" w:hanging="201"/>
      </w:pPr>
      <w:rPr>
        <w:rFonts w:ascii="Arial" w:eastAsia="Arial" w:hAnsi="Arial" w:cs="Arial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"/>
      <w:lvlJc w:val="left"/>
      <w:pPr>
        <w:tabs>
          <w:tab w:val="num" w:pos="0"/>
        </w:tabs>
        <w:ind w:left="834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4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4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5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5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60" w:hanging="360"/>
      </w:pPr>
      <w:rPr>
        <w:rFonts w:ascii="Symbol" w:hAnsi="Symbol" w:cs="Symbol" w:hint="default"/>
      </w:rPr>
    </w:lvl>
  </w:abstractNum>
  <w:abstractNum w:abstractNumId="3" w15:restartNumberingAfterBreak="0">
    <w:nsid w:val="723356B7"/>
    <w:multiLevelType w:val="multilevel"/>
    <w:tmpl w:val="FCA84030"/>
    <w:lvl w:ilvl="0">
      <w:start w:val="1"/>
      <w:numFmt w:val="decimal"/>
      <w:lvlText w:val="%1"/>
      <w:lvlJc w:val="left"/>
      <w:pPr>
        <w:tabs>
          <w:tab w:val="num" w:pos="0"/>
        </w:tabs>
        <w:ind w:left="314" w:hanging="201"/>
      </w:pPr>
      <w:rPr>
        <w:rFonts w:ascii="Arial" w:eastAsia="Arial" w:hAnsi="Arial" w:cs="Arial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4" w:hanging="20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29" w:hanging="20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3" w:hanging="20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8" w:hanging="20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93" w:hanging="20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7" w:hanging="20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2" w:hanging="20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6" w:hanging="201"/>
      </w:pPr>
      <w:rPr>
        <w:rFonts w:ascii="Symbol" w:hAnsi="Symbol" w:cs="Symbol" w:hint="default"/>
      </w:rPr>
    </w:lvl>
  </w:abstractNum>
  <w:abstractNum w:abstractNumId="4" w15:restartNumberingAfterBreak="0">
    <w:nsid w:val="72DD56B9"/>
    <w:multiLevelType w:val="multilevel"/>
    <w:tmpl w:val="8FB23468"/>
    <w:lvl w:ilvl="0">
      <w:numFmt w:val="bullet"/>
      <w:lvlText w:val="-"/>
      <w:lvlJc w:val="left"/>
      <w:pPr>
        <w:tabs>
          <w:tab w:val="num" w:pos="0"/>
        </w:tabs>
        <w:ind w:left="834" w:hanging="360"/>
      </w:pPr>
      <w:rPr>
        <w:rFonts w:ascii="Arial" w:hAnsi="Arial" w:cs="Aria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ascii="Symbol" w:hAnsi="Symbol" w:cs="Symbol" w:hint="default"/>
      </w:rPr>
    </w:lvl>
  </w:abstractNum>
  <w:abstractNum w:abstractNumId="5" w15:restartNumberingAfterBreak="0">
    <w:nsid w:val="73206C0D"/>
    <w:multiLevelType w:val="multilevel"/>
    <w:tmpl w:val="1930CC3C"/>
    <w:lvl w:ilvl="0">
      <w:start w:val="1"/>
      <w:numFmt w:val="decimal"/>
      <w:lvlText w:val="%1"/>
      <w:lvlJc w:val="left"/>
      <w:pPr>
        <w:tabs>
          <w:tab w:val="num" w:pos="0"/>
        </w:tabs>
        <w:ind w:left="314" w:hanging="201"/>
      </w:pPr>
      <w:rPr>
        <w:rFonts w:ascii="Arial" w:eastAsia="Arial" w:hAnsi="Arial" w:cs="Arial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828" w:hanging="357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25" w:hanging="35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30" w:hanging="35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5" w:hanging="35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40" w:hanging="35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45" w:hanging="35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0" w:hanging="35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55" w:hanging="357"/>
      </w:pPr>
      <w:rPr>
        <w:rFonts w:ascii="Symbol" w:hAnsi="Symbol" w:cs="Symbol" w:hint="default"/>
      </w:rPr>
    </w:lvl>
  </w:abstractNum>
  <w:abstractNum w:abstractNumId="6" w15:restartNumberingAfterBreak="0">
    <w:nsid w:val="742B6EBC"/>
    <w:multiLevelType w:val="multilevel"/>
    <w:tmpl w:val="D520DCBE"/>
    <w:lvl w:ilvl="0">
      <w:start w:val="1"/>
      <w:numFmt w:val="decimal"/>
      <w:lvlText w:val="%1"/>
      <w:lvlJc w:val="left"/>
      <w:pPr>
        <w:tabs>
          <w:tab w:val="num" w:pos="0"/>
        </w:tabs>
        <w:ind w:left="314" w:hanging="201"/>
      </w:pPr>
      <w:rPr>
        <w:rFonts w:ascii="Arial" w:eastAsia="Arial" w:hAnsi="Arial" w:cs="Arial"/>
        <w:spacing w:val="-1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4" w:hanging="20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29" w:hanging="20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3" w:hanging="20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8" w:hanging="20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93" w:hanging="20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7" w:hanging="20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2" w:hanging="20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6" w:hanging="201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5F"/>
    <w:rsid w:val="003251AB"/>
    <w:rsid w:val="005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C90F7-A2B3-49F6-8AB0-71313DA4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834" w:hanging="36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AD7688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3388"/>
    <w:rPr>
      <w:rFonts w:ascii="Arial" w:eastAsia="Arial" w:hAnsi="Arial" w:cs="Arial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3388"/>
    <w:rPr>
      <w:rFonts w:ascii="Arial" w:eastAsia="Arial" w:hAnsi="Arial" w:cs="Arial"/>
      <w:lang w:val="it-IT"/>
    </w:rPr>
  </w:style>
  <w:style w:type="paragraph" w:styleId="Titolo">
    <w:name w:val="Title"/>
    <w:basedOn w:val="Normale"/>
    <w:next w:val="Corpotesto"/>
    <w:uiPriority w:val="1"/>
    <w:qFormat/>
    <w:pPr>
      <w:spacing w:before="19"/>
      <w:ind w:right="209"/>
      <w:jc w:val="right"/>
    </w:pPr>
    <w:rPr>
      <w:rFonts w:ascii="Carlito" w:eastAsia="Carlito" w:hAnsi="Carlito" w:cs="Carlito"/>
      <w:b/>
      <w:bCs/>
      <w:i/>
      <w:sz w:val="40"/>
      <w:szCs w:val="40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314" w:hanging="20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33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3388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progsoc@regione.moli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Molise</dc:creator>
  <dc:description/>
  <cp:lastModifiedBy>Serena</cp:lastModifiedBy>
  <cp:revision>2</cp:revision>
  <cp:lastPrinted>2021-02-15T12:15:00Z</cp:lastPrinted>
  <dcterms:created xsi:type="dcterms:W3CDTF">2022-06-21T09:51:00Z</dcterms:created>
  <dcterms:modified xsi:type="dcterms:W3CDTF">2022-06-21T09:51:00Z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 Office Word</vt:lpwstr>
  </property>
  <property fmtid="{D5CDD505-2E9C-101B-9397-08002B2CF9AE}" pid="4" name="HyperlinksChanged">
    <vt:bool>false</vt:bool>
  </property>
  <property fmtid="{D5CDD505-2E9C-101B-9397-08002B2CF9AE}" pid="5" name="LastSaved">
    <vt:filetime>2021-02-15T00:00:00Z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